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A23AEA" w:rsidRPr="00A23AEA" w14:paraId="2008CE6C" w14:textId="77777777">
        <w:trPr>
          <w:tblCellSpacing w:w="0" w:type="dxa"/>
          <w:jc w:val="center"/>
        </w:trPr>
        <w:tc>
          <w:tcPr>
            <w:tcW w:w="0" w:type="auto"/>
            <w:shd w:val="clear" w:color="auto" w:fill="FFFFFF"/>
            <w:vAlign w:val="center"/>
            <w:hideMark/>
          </w:tcPr>
          <w:p w14:paraId="329718B8" w14:textId="77777777" w:rsidR="00A23AEA" w:rsidRPr="00A23AEA" w:rsidRDefault="00A23AEA" w:rsidP="00A23AEA">
            <w:pPr>
              <w:shd w:val="clear" w:color="auto" w:fill="FFFFFF"/>
              <w:spacing w:before="100" w:beforeAutospacing="1" w:after="100" w:afterAutospacing="1" w:line="420" w:lineRule="atLeast"/>
              <w:outlineLvl w:val="0"/>
              <w:rPr>
                <w:rFonts w:eastAsia="Times New Roman" w:cs="Arial"/>
                <w:b/>
                <w:bCs/>
                <w:color w:val="363535"/>
                <w:kern w:val="36"/>
                <w:sz w:val="48"/>
                <w:szCs w:val="48"/>
                <w:lang w:eastAsia="zh-CN"/>
              </w:rPr>
            </w:pPr>
            <w:r w:rsidRPr="00A23AEA">
              <w:rPr>
                <w:rFonts w:eastAsia="Times New Roman" w:cs="Arial"/>
                <w:b/>
                <w:bCs/>
                <w:color w:val="363535"/>
                <w:kern w:val="36"/>
                <w:sz w:val="48"/>
                <w:szCs w:val="48"/>
                <w:lang w:eastAsia="zh-CN"/>
              </w:rPr>
              <w:t>Building for growth and maintaining what matters</w:t>
            </w:r>
          </w:p>
          <w:p w14:paraId="699C12FF"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March 06, 2026 </w:t>
            </w:r>
            <w:hyperlink r:id="rId11" w:anchor="x_media-contacts" w:tooltip="#x_media-contacts" w:history="1">
              <w:r w:rsidRPr="00A23AEA">
                <w:rPr>
                  <w:rStyle w:val="Hyperlink"/>
                  <w:rFonts w:eastAsia="Times New Roman" w:cs="Arial"/>
                  <w:sz w:val="26"/>
                  <w:szCs w:val="26"/>
                  <w:lang w:eastAsia="zh-CN"/>
                </w:rPr>
                <w:t>Media inquiries</w:t>
              </w:r>
            </w:hyperlink>
          </w:p>
          <w:p w14:paraId="2391BDC5"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Budget 2026 invests in major highway and bridge projects to reduce congestion, shorten commute times and expand vital transportation corridors.</w:t>
            </w:r>
          </w:p>
          <w:p w14:paraId="2929EF15"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If passed, Budget 2026 will invest more than $8.3 billion for the Ministry of Transportation and Economic Corridors’ three-year Capital Plan. This includes $3.3 billion in capital grants to municipalities and $4.8 billion to build, expand and maintain Alberta’s vast road and bridge network, supporting growth and ensuring Albertans spend less time stuck in traffic.</w:t>
            </w:r>
          </w:p>
          <w:p w14:paraId="48C5BB2A"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 xml:space="preserve">“Our capital plan is focused on building for growth and maintaining what matters. We are making significant infrastructure transportation investments across Alberta to reduce commute times while also improving safety. We are </w:t>
            </w:r>
            <w:proofErr w:type="gramStart"/>
            <w:r w:rsidRPr="00A23AEA">
              <w:rPr>
                <w:rFonts w:eastAsia="Times New Roman" w:cs="Arial"/>
                <w:color w:val="363535"/>
                <w:sz w:val="26"/>
                <w:szCs w:val="26"/>
                <w:lang w:eastAsia="zh-CN"/>
              </w:rPr>
              <w:t>planning for the future</w:t>
            </w:r>
            <w:proofErr w:type="gramEnd"/>
            <w:r w:rsidRPr="00A23AEA">
              <w:rPr>
                <w:rFonts w:eastAsia="Times New Roman" w:cs="Arial"/>
                <w:color w:val="363535"/>
                <w:sz w:val="26"/>
                <w:szCs w:val="26"/>
                <w:lang w:eastAsia="zh-CN"/>
              </w:rPr>
              <w:t xml:space="preserve"> by making strategic investments, maintaining and extending the life of our 64,000-kilometre road and 4,900-bridge network.”</w:t>
            </w:r>
          </w:p>
          <w:p w14:paraId="64AA1F7C"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i/>
                <w:iCs/>
                <w:color w:val="363535"/>
                <w:sz w:val="26"/>
                <w:szCs w:val="26"/>
                <w:lang w:eastAsia="zh-CN"/>
              </w:rPr>
              <w:t>Devin Dreeshen, Minister of Transportation and Economic Corridors</w:t>
            </w:r>
          </w:p>
          <w:p w14:paraId="6D86C118"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Alberta’s government is driving forward with $2.8 billion in funding for infrastructure upgrades and safer roads across the province. This includes significant investments in major rural economic corridors such as the twinning of highways 3, 11 and 63.</w:t>
            </w:r>
          </w:p>
          <w:p w14:paraId="65AAA8E2"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Capital investment also includes $193.4 million over three years for more than 50 engineering projects, including $39.5 million in new funding to address known future needs. This includes projects such as the Highway 16 six and eight lane conversion project between Spruce Grove and west of Edmonton, Highway 40 twinning between Canfor Road and Township Road 700, and Highway 63 twinning between Grassland and Edmonton.</w:t>
            </w:r>
          </w:p>
          <w:p w14:paraId="5F1DC6FB"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“Budget 2026 reinforces the importance of sustained, long-term investment in infrastructure to support Alberta’s growing communities and economy. To fully realize the value of these significant budget allocations, the Consulting Engineers of Alberta looks forward to working with Transportation and Economic Corridors on ways of advancing project delivery so that budgets can be converted into the tangible infrastructure Albertans rely on every day.”</w:t>
            </w:r>
          </w:p>
          <w:p w14:paraId="14678612"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i/>
                <w:iCs/>
                <w:color w:val="363535"/>
                <w:sz w:val="26"/>
                <w:szCs w:val="26"/>
                <w:lang w:eastAsia="zh-CN"/>
              </w:rPr>
              <w:t>Robert Radovanovic, P.Eng. chief executive officer, Consulting Engineers of Alberta</w:t>
            </w:r>
          </w:p>
          <w:p w14:paraId="628F0FD1"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The province is also making significant improvements to Deerfoot Trail in Calgary, building on previous investments to reduce congestion. Capital investment funding also supports bridge replacement work at the Highway 8 connection to the West Calgary Ring Road and the completion of the Stoney Trail and Airport Trail interchange. These projects help keep costs off the backs of future taxpayers while addressing the needs of today and tomorrow.  </w:t>
            </w:r>
          </w:p>
          <w:p w14:paraId="255EB65F"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“Aecon is partnering with the Government of Alberta to advance critical infrastructure and is proud to be delivering the Deerfoot Trail Improvements Project – upgrading a vital transportation corridor for the City of Calgary and the province. These improvements will benefit growing communities, while enhancing safety and mobility for commuters.”</w:t>
            </w:r>
          </w:p>
          <w:p w14:paraId="3D870E23"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i/>
                <w:iCs/>
                <w:color w:val="363535"/>
                <w:sz w:val="26"/>
                <w:szCs w:val="26"/>
                <w:lang w:eastAsia="zh-CN"/>
              </w:rPr>
              <w:t>Jean-Louis Servranckx, president and chief executive officer, Aecon Group Inc.</w:t>
            </w:r>
          </w:p>
          <w:p w14:paraId="01363454"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Budget 2026 is also providing $1.35 billion through capital grants to the City of Calgary over the next three years. This includes $1.1 billion for LRT projects, as well as $202.2 million for the Calgary Rivers District, supporting new transportation infrastructure and improvements, indoor and outdoor public gathering spaces, and demolition of the existing Saddledome. Capital grant funding will support the construction of a new wastewater pipeline that connects to the City of Calgary’s existing wastewater treatment system to meet growing infrastructure demands in the City of Airdrie.</w:t>
            </w:r>
          </w:p>
          <w:p w14:paraId="1782254D"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The Edmonton region will receive $1.5 billion over three years in capital grants. This includes $1.3 billion for LRT projects, $82.7 million for Yellowhead Trail upgrades, $25.9 million to widen Terwillegar Drive and $16.6 million for the Ray Gibbon Drive expansion. Together, these projects reflect a clear commitment to building the modern, reliable road infrastructure Alberta families, workers, and industries rely on.</w:t>
            </w:r>
          </w:p>
          <w:p w14:paraId="76DDC9F2"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i/>
                <w:iCs/>
                <w:color w:val="363535"/>
                <w:sz w:val="26"/>
                <w:szCs w:val="26"/>
                <w:lang w:eastAsia="zh-CN"/>
              </w:rPr>
              <w:t>Budget 2026 is focused on what matters, makes disciplined choices, and takes decisive action.</w:t>
            </w:r>
          </w:p>
          <w:p w14:paraId="35993F7D"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b/>
                <w:bCs/>
                <w:color w:val="363535"/>
                <w:sz w:val="26"/>
                <w:szCs w:val="26"/>
                <w:lang w:eastAsia="zh-CN"/>
              </w:rPr>
            </w:pPr>
            <w:r w:rsidRPr="00A23AEA">
              <w:rPr>
                <w:rFonts w:eastAsia="Times New Roman" w:cs="Arial"/>
                <w:b/>
                <w:bCs/>
                <w:color w:val="363535"/>
                <w:sz w:val="26"/>
                <w:szCs w:val="26"/>
                <w:lang w:eastAsia="zh-CN"/>
              </w:rPr>
              <w:t>Quick facts</w:t>
            </w:r>
          </w:p>
          <w:p w14:paraId="5325764D" w14:textId="77777777" w:rsidR="00A23AEA" w:rsidRPr="00A23AEA" w:rsidRDefault="00A23AEA" w:rsidP="00A23AEA">
            <w:pPr>
              <w:numPr>
                <w:ilvl w:val="0"/>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Budget 2026, if passed, invests $8.3 billion over three years in Transportation and Economic Corridors’ Capital Plan that includes:</w:t>
            </w:r>
          </w:p>
          <w:p w14:paraId="5F384448" w14:textId="77777777" w:rsidR="00A23AEA" w:rsidRPr="00A23AEA" w:rsidRDefault="00A23AEA" w:rsidP="00A23AEA">
            <w:pPr>
              <w:numPr>
                <w:ilvl w:val="1"/>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$3.3 billion for capital grants to municipalities</w:t>
            </w:r>
          </w:p>
          <w:p w14:paraId="0CA075F8" w14:textId="77777777" w:rsidR="00A23AEA" w:rsidRPr="00A23AEA" w:rsidRDefault="00A23AEA" w:rsidP="00A23AEA">
            <w:pPr>
              <w:numPr>
                <w:ilvl w:val="1"/>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 xml:space="preserve">$2.8 billion in capital investment for planning, design and construction of roads, bridges and water management infrastructure, </w:t>
            </w:r>
            <w:proofErr w:type="gramStart"/>
            <w:r w:rsidRPr="00A23AEA">
              <w:rPr>
                <w:rFonts w:eastAsia="Times New Roman" w:cs="Arial"/>
                <w:color w:val="363535"/>
                <w:sz w:val="26"/>
                <w:szCs w:val="26"/>
                <w:lang w:eastAsia="zh-CN"/>
              </w:rPr>
              <w:t>including;</w:t>
            </w:r>
            <w:proofErr w:type="gramEnd"/>
          </w:p>
          <w:p w14:paraId="02DA6F95"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3 twinning (Between Seven Persons and Medicine Hat)</w:t>
            </w:r>
          </w:p>
          <w:p w14:paraId="10F75B5B"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33 bridge over Athabasca River</w:t>
            </w:r>
          </w:p>
          <w:p w14:paraId="7C787CB0"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2 Balzac Interchange Replacement</w:t>
            </w:r>
          </w:p>
          <w:p w14:paraId="3554597C"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11 twinning between Sylvan Lake and Rocky Mountain House</w:t>
            </w:r>
          </w:p>
          <w:p w14:paraId="7FF9B319"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40 grade widening between Hinton and Grande Cache</w:t>
            </w:r>
          </w:p>
          <w:p w14:paraId="2958CA1B"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58 paving</w:t>
            </w:r>
          </w:p>
          <w:p w14:paraId="4E4E49BF"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63 Twinning, north of Fort McMurray</w:t>
            </w:r>
          </w:p>
          <w:p w14:paraId="2C6FF95B"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686 grade, base and paving, and extension</w:t>
            </w:r>
          </w:p>
          <w:p w14:paraId="5EBDF126"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Highway 881 safety and road improvements</w:t>
            </w:r>
          </w:p>
          <w:p w14:paraId="37D91785" w14:textId="77777777" w:rsidR="00A23AEA" w:rsidRPr="00A23AEA" w:rsidRDefault="00A23AEA" w:rsidP="00A23AEA">
            <w:pPr>
              <w:numPr>
                <w:ilvl w:val="2"/>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Vinca Bridge replacement</w:t>
            </w:r>
          </w:p>
          <w:p w14:paraId="1E68258E" w14:textId="77777777" w:rsidR="00A23AEA" w:rsidRPr="00A23AEA" w:rsidRDefault="00A23AEA" w:rsidP="00A23AEA">
            <w:pPr>
              <w:numPr>
                <w:ilvl w:val="1"/>
                <w:numId w:val="49"/>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$2 billion in capital maintenance and renewal for highway and bridge rehabilitation projects, an increase of $234 million compared with Budget 2025.</w:t>
            </w:r>
          </w:p>
          <w:p w14:paraId="1C758311"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b/>
                <w:bCs/>
                <w:color w:val="363535"/>
                <w:sz w:val="26"/>
                <w:szCs w:val="26"/>
                <w:lang w:eastAsia="zh-CN"/>
              </w:rPr>
            </w:pPr>
            <w:r w:rsidRPr="00A23AEA">
              <w:rPr>
                <w:rFonts w:eastAsia="Times New Roman" w:cs="Arial"/>
                <w:b/>
                <w:bCs/>
                <w:color w:val="363535"/>
                <w:sz w:val="26"/>
                <w:szCs w:val="26"/>
                <w:lang w:eastAsia="zh-CN"/>
              </w:rPr>
              <w:t>Related information</w:t>
            </w:r>
          </w:p>
          <w:p w14:paraId="6331EBC8" w14:textId="77777777" w:rsidR="00A23AEA" w:rsidRPr="00A23AEA" w:rsidRDefault="00A23AEA" w:rsidP="00A23AEA">
            <w:pPr>
              <w:numPr>
                <w:ilvl w:val="0"/>
                <w:numId w:val="50"/>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hyperlink r:id="rId12" w:tooltip="https://open.alberta.ca/publications/provincial-construction-program" w:history="1">
              <w:r w:rsidRPr="00A23AEA">
                <w:rPr>
                  <w:rStyle w:val="Hyperlink"/>
                  <w:rFonts w:eastAsia="Times New Roman" w:cs="Arial"/>
                  <w:sz w:val="26"/>
                  <w:szCs w:val="26"/>
                  <w:lang w:eastAsia="zh-CN"/>
                </w:rPr>
                <w:t>Provincial Construction Program</w:t>
              </w:r>
            </w:hyperlink>
          </w:p>
          <w:p w14:paraId="0D2F31E0"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b/>
                <w:bCs/>
                <w:color w:val="363535"/>
                <w:sz w:val="26"/>
                <w:szCs w:val="26"/>
                <w:lang w:eastAsia="zh-CN"/>
              </w:rPr>
            </w:pPr>
            <w:r w:rsidRPr="00A23AEA">
              <w:rPr>
                <w:rFonts w:eastAsia="Times New Roman" w:cs="Arial"/>
                <w:b/>
                <w:bCs/>
                <w:color w:val="363535"/>
                <w:sz w:val="26"/>
                <w:szCs w:val="26"/>
                <w:lang w:eastAsia="zh-CN"/>
              </w:rPr>
              <w:t>Multimedia</w:t>
            </w:r>
          </w:p>
          <w:p w14:paraId="66990629" w14:textId="77777777" w:rsidR="00A23AEA" w:rsidRPr="00A23AEA" w:rsidRDefault="00A23AEA" w:rsidP="00A23AEA">
            <w:pPr>
              <w:numPr>
                <w:ilvl w:val="0"/>
                <w:numId w:val="51"/>
              </w:num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hyperlink r:id="rId13" w:tooltip="Original URL: https://www.youtube.com/live/H25mCKkpg9o. Click or tap if you trust this link." w:history="1">
              <w:r w:rsidRPr="00A23AEA">
                <w:rPr>
                  <w:rStyle w:val="Hyperlink"/>
                  <w:rFonts w:eastAsia="Times New Roman" w:cs="Arial"/>
                  <w:sz w:val="26"/>
                  <w:szCs w:val="26"/>
                  <w:lang w:eastAsia="zh-CN"/>
                </w:rPr>
                <w:t>Watch the news conference</w:t>
              </w:r>
            </w:hyperlink>
          </w:p>
          <w:p w14:paraId="46EEFC18" w14:textId="2BDB3704"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b/>
                <w:bCs/>
                <w:color w:val="363535"/>
                <w:sz w:val="26"/>
                <w:szCs w:val="26"/>
                <w:lang w:eastAsia="zh-CN"/>
              </w:rPr>
            </w:pPr>
            <w:r w:rsidRPr="00A23AEA">
              <w:rPr>
                <w:rFonts w:eastAsia="Times New Roman" w:cs="Arial"/>
                <w:color w:val="363535"/>
                <w:sz w:val="26"/>
                <w:szCs w:val="26"/>
                <w:lang w:eastAsia="zh-CN"/>
              </w:rPr>
              <w:br/>
            </w:r>
            <w:r w:rsidRPr="00A23AEA">
              <w:rPr>
                <w:rFonts w:eastAsia="Times New Roman" w:cs="Arial"/>
                <w:b/>
                <w:bCs/>
                <w:color w:val="363535"/>
                <w:sz w:val="26"/>
                <w:szCs w:val="26"/>
                <w:lang w:eastAsia="zh-CN"/>
              </w:rPr>
              <w:t>Media inquiries</w:t>
            </w:r>
          </w:p>
          <w:p w14:paraId="594A053A"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b/>
                <w:bCs/>
                <w:color w:val="363535"/>
                <w:sz w:val="26"/>
                <w:szCs w:val="26"/>
                <w:lang w:eastAsia="zh-CN"/>
              </w:rPr>
            </w:pPr>
            <w:hyperlink r:id="rId14" w:tooltip="mailto:Husam.Khalo@gov.ab.ca" w:history="1">
              <w:r w:rsidRPr="00A23AEA">
                <w:rPr>
                  <w:rStyle w:val="Hyperlink"/>
                  <w:rFonts w:eastAsia="Times New Roman" w:cs="Arial"/>
                  <w:b/>
                  <w:bCs/>
                  <w:sz w:val="26"/>
                  <w:szCs w:val="26"/>
                  <w:lang w:eastAsia="zh-CN"/>
                </w:rPr>
                <w:t>Husam Khalo</w:t>
              </w:r>
            </w:hyperlink>
          </w:p>
          <w:p w14:paraId="07B75A1D"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r w:rsidRPr="00A23AEA">
              <w:rPr>
                <w:rFonts w:eastAsia="Times New Roman" w:cs="Arial"/>
                <w:color w:val="363535"/>
                <w:sz w:val="26"/>
                <w:szCs w:val="26"/>
                <w:lang w:eastAsia="zh-CN"/>
              </w:rPr>
              <w:t>587-346-9153</w:t>
            </w:r>
            <w:r w:rsidRPr="00A23AEA">
              <w:rPr>
                <w:rFonts w:eastAsia="Times New Roman" w:cs="Arial"/>
                <w:color w:val="363535"/>
                <w:sz w:val="26"/>
                <w:szCs w:val="26"/>
                <w:lang w:eastAsia="zh-CN"/>
              </w:rPr>
              <w:br/>
              <w:t>Press Secretary, Transportation and Economic Corridors</w:t>
            </w:r>
          </w:p>
        </w:tc>
      </w:tr>
      <w:tr w:rsidR="00A23AEA" w:rsidRPr="00A23AEA" w14:paraId="1A738A4A" w14:textId="77777777">
        <w:trPr>
          <w:tblCellSpacing w:w="0" w:type="dxa"/>
          <w:jc w:val="center"/>
        </w:trPr>
        <w:tc>
          <w:tcPr>
            <w:tcW w:w="0" w:type="auto"/>
            <w:shd w:val="clear" w:color="auto" w:fill="FFFFFF"/>
            <w:vAlign w:val="center"/>
            <w:hideMark/>
          </w:tcPr>
          <w:p w14:paraId="0CE3CE71" w14:textId="77777777" w:rsidR="00A23AEA" w:rsidRPr="00A23AEA" w:rsidRDefault="00A23AEA" w:rsidP="00A23AEA">
            <w:pPr>
              <w:shd w:val="clear" w:color="auto" w:fill="FFFFFF"/>
              <w:spacing w:before="100" w:beforeAutospacing="1" w:after="100" w:afterAutospacing="1" w:line="348" w:lineRule="atLeast"/>
              <w:textAlignment w:val="baseline"/>
              <w:rPr>
                <w:rFonts w:eastAsia="Times New Roman" w:cs="Arial"/>
                <w:color w:val="363535"/>
                <w:sz w:val="26"/>
                <w:szCs w:val="26"/>
                <w:lang w:eastAsia="zh-CN"/>
              </w:rPr>
            </w:pPr>
          </w:p>
        </w:tc>
      </w:tr>
    </w:tbl>
    <w:p w14:paraId="24475F72" w14:textId="2488E3C7" w:rsidR="001B1E02" w:rsidRPr="00141603" w:rsidRDefault="001B1E02" w:rsidP="00A23AEA">
      <w:pPr>
        <w:shd w:val="clear" w:color="auto" w:fill="FFFFFF"/>
        <w:spacing w:before="100" w:beforeAutospacing="1" w:after="100" w:afterAutospacing="1" w:line="348" w:lineRule="atLeast"/>
        <w:textAlignment w:val="baseline"/>
      </w:pPr>
    </w:p>
    <w:sectPr w:rsidR="001B1E02" w:rsidRPr="00141603" w:rsidSect="0048657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5B95" w14:textId="77777777" w:rsidR="00E947A1" w:rsidRDefault="00E947A1" w:rsidP="00EB0C3C">
      <w:pPr>
        <w:spacing w:after="0" w:line="240" w:lineRule="auto"/>
      </w:pPr>
      <w:r>
        <w:separator/>
      </w:r>
    </w:p>
  </w:endnote>
  <w:endnote w:type="continuationSeparator" w:id="0">
    <w:p w14:paraId="4328813E" w14:textId="77777777" w:rsidR="00E947A1" w:rsidRDefault="00E947A1"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E55B" w14:textId="77777777" w:rsidR="00E947A1" w:rsidRDefault="00E947A1" w:rsidP="00EB0C3C">
      <w:pPr>
        <w:spacing w:after="0" w:line="240" w:lineRule="auto"/>
      </w:pPr>
      <w:r>
        <w:separator/>
      </w:r>
    </w:p>
  </w:footnote>
  <w:footnote w:type="continuationSeparator" w:id="0">
    <w:p w14:paraId="7CC15A26" w14:textId="77777777" w:rsidR="00E947A1" w:rsidRDefault="00E947A1"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00272"/>
    <w:multiLevelType w:val="multilevel"/>
    <w:tmpl w:val="FCB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063F3"/>
    <w:multiLevelType w:val="multilevel"/>
    <w:tmpl w:val="522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333E9"/>
    <w:multiLevelType w:val="multilevel"/>
    <w:tmpl w:val="771C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92E1B"/>
    <w:multiLevelType w:val="multilevel"/>
    <w:tmpl w:val="F6A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9480D"/>
    <w:multiLevelType w:val="multilevel"/>
    <w:tmpl w:val="DC0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24EC0"/>
    <w:multiLevelType w:val="multilevel"/>
    <w:tmpl w:val="B8F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4"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4483B2A"/>
    <w:multiLevelType w:val="multilevel"/>
    <w:tmpl w:val="F5B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7217FE"/>
    <w:multiLevelType w:val="multilevel"/>
    <w:tmpl w:val="558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4D651E"/>
    <w:multiLevelType w:val="multilevel"/>
    <w:tmpl w:val="0346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5"/>
  </w:num>
  <w:num w:numId="2" w16cid:durableId="474419659">
    <w:abstractNumId w:val="28"/>
  </w:num>
  <w:num w:numId="3" w16cid:durableId="420374819">
    <w:abstractNumId w:val="36"/>
  </w:num>
  <w:num w:numId="4" w16cid:durableId="1804812525">
    <w:abstractNumId w:val="41"/>
  </w:num>
  <w:num w:numId="5" w16cid:durableId="2136483247">
    <w:abstractNumId w:val="8"/>
  </w:num>
  <w:num w:numId="6" w16cid:durableId="326518705">
    <w:abstractNumId w:val="43"/>
  </w:num>
  <w:num w:numId="7" w16cid:durableId="1802729343">
    <w:abstractNumId w:val="34"/>
  </w:num>
  <w:num w:numId="8" w16cid:durableId="917666302">
    <w:abstractNumId w:val="35"/>
  </w:num>
  <w:num w:numId="9" w16cid:durableId="973682923">
    <w:abstractNumId w:val="3"/>
  </w:num>
  <w:num w:numId="10" w16cid:durableId="1459059337">
    <w:abstractNumId w:val="40"/>
  </w:num>
  <w:num w:numId="11" w16cid:durableId="1152940092">
    <w:abstractNumId w:val="13"/>
  </w:num>
  <w:num w:numId="12" w16cid:durableId="1176000278">
    <w:abstractNumId w:val="9"/>
  </w:num>
  <w:num w:numId="13" w16cid:durableId="1420516719">
    <w:abstractNumId w:val="1"/>
  </w:num>
  <w:num w:numId="14" w16cid:durableId="101388062">
    <w:abstractNumId w:val="49"/>
  </w:num>
  <w:num w:numId="15" w16cid:durableId="1792479793">
    <w:abstractNumId w:val="21"/>
  </w:num>
  <w:num w:numId="16" w16cid:durableId="1709140874">
    <w:abstractNumId w:val="42"/>
  </w:num>
  <w:num w:numId="17" w16cid:durableId="749035616">
    <w:abstractNumId w:val="7"/>
  </w:num>
  <w:num w:numId="18" w16cid:durableId="299920674">
    <w:abstractNumId w:val="37"/>
  </w:num>
  <w:num w:numId="19" w16cid:durableId="102311290">
    <w:abstractNumId w:val="23"/>
  </w:num>
  <w:num w:numId="20" w16cid:durableId="434638873">
    <w:abstractNumId w:val="5"/>
  </w:num>
  <w:num w:numId="21" w16cid:durableId="1670786165">
    <w:abstractNumId w:val="27"/>
  </w:num>
  <w:num w:numId="22" w16cid:durableId="610402591">
    <w:abstractNumId w:val="33"/>
  </w:num>
  <w:num w:numId="23" w16cid:durableId="667513568">
    <w:abstractNumId w:val="19"/>
  </w:num>
  <w:num w:numId="24" w16cid:durableId="1786381756">
    <w:abstractNumId w:val="47"/>
  </w:num>
  <w:num w:numId="25" w16cid:durableId="1228419337">
    <w:abstractNumId w:val="44"/>
  </w:num>
  <w:num w:numId="26" w16cid:durableId="95445737">
    <w:abstractNumId w:val="6"/>
  </w:num>
  <w:num w:numId="27" w16cid:durableId="716467803">
    <w:abstractNumId w:val="11"/>
  </w:num>
  <w:num w:numId="28" w16cid:durableId="828905719">
    <w:abstractNumId w:val="31"/>
  </w:num>
  <w:num w:numId="29" w16cid:durableId="1894852026">
    <w:abstractNumId w:val="39"/>
  </w:num>
  <w:num w:numId="30" w16cid:durableId="678852576">
    <w:abstractNumId w:val="30"/>
  </w:num>
  <w:num w:numId="31" w16cid:durableId="188496850">
    <w:abstractNumId w:val="15"/>
  </w:num>
  <w:num w:numId="32" w16cid:durableId="864682895">
    <w:abstractNumId w:val="20"/>
  </w:num>
  <w:num w:numId="33" w16cid:durableId="224415769">
    <w:abstractNumId w:val="16"/>
  </w:num>
  <w:num w:numId="34" w16cid:durableId="2041978785">
    <w:abstractNumId w:val="29"/>
  </w:num>
  <w:num w:numId="35" w16cid:durableId="36126440">
    <w:abstractNumId w:val="14"/>
  </w:num>
  <w:num w:numId="36" w16cid:durableId="1844468696">
    <w:abstractNumId w:val="10"/>
  </w:num>
  <w:num w:numId="37" w16cid:durableId="1009258684">
    <w:abstractNumId w:val="25"/>
  </w:num>
  <w:num w:numId="38" w16cid:durableId="2102335838">
    <w:abstractNumId w:val="22"/>
  </w:num>
  <w:num w:numId="39" w16cid:durableId="532885282">
    <w:abstractNumId w:val="0"/>
  </w:num>
  <w:num w:numId="40" w16cid:durableId="1952739070">
    <w:abstractNumId w:val="18"/>
  </w:num>
  <w:num w:numId="41" w16cid:durableId="718628443">
    <w:abstractNumId w:val="32"/>
  </w:num>
  <w:num w:numId="42" w16cid:durableId="1954553781">
    <w:abstractNumId w:val="4"/>
  </w:num>
  <w:num w:numId="43" w16cid:durableId="1668361217">
    <w:abstractNumId w:val="12"/>
  </w:num>
  <w:num w:numId="44" w16cid:durableId="1834951786">
    <w:abstractNumId w:val="38"/>
  </w:num>
  <w:num w:numId="45" w16cid:durableId="27416104">
    <w:abstractNumId w:val="24"/>
  </w:num>
  <w:num w:numId="46" w16cid:durableId="2067606374">
    <w:abstractNumId w:val="2"/>
  </w:num>
  <w:num w:numId="47" w16cid:durableId="494489916">
    <w:abstractNumId w:val="17"/>
  </w:num>
  <w:num w:numId="48" w16cid:durableId="1185825914">
    <w:abstractNumId w:val="26"/>
  </w:num>
  <w:num w:numId="49" w16cid:durableId="2052414783">
    <w:abstractNumId w:val="50"/>
  </w:num>
  <w:num w:numId="50" w16cid:durableId="108277478">
    <w:abstractNumId w:val="46"/>
  </w:num>
  <w:num w:numId="51" w16cid:durableId="40488380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7138F"/>
    <w:rsid w:val="000A1D18"/>
    <w:rsid w:val="000A223A"/>
    <w:rsid w:val="000A5B88"/>
    <w:rsid w:val="000E63A6"/>
    <w:rsid w:val="000F2683"/>
    <w:rsid w:val="000F4E00"/>
    <w:rsid w:val="00103C1E"/>
    <w:rsid w:val="00116596"/>
    <w:rsid w:val="001262D8"/>
    <w:rsid w:val="00141603"/>
    <w:rsid w:val="00146A12"/>
    <w:rsid w:val="001473E8"/>
    <w:rsid w:val="001510D0"/>
    <w:rsid w:val="001821E3"/>
    <w:rsid w:val="001A487D"/>
    <w:rsid w:val="001B1E02"/>
    <w:rsid w:val="001B6CA8"/>
    <w:rsid w:val="001C7B19"/>
    <w:rsid w:val="001E2742"/>
    <w:rsid w:val="002247D2"/>
    <w:rsid w:val="00225706"/>
    <w:rsid w:val="00252FE6"/>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0644"/>
    <w:rsid w:val="00485ED4"/>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CA"/>
    <w:rsid w:val="007D3875"/>
    <w:rsid w:val="007F2F71"/>
    <w:rsid w:val="00852B05"/>
    <w:rsid w:val="0089245A"/>
    <w:rsid w:val="008A3AAC"/>
    <w:rsid w:val="008D0F85"/>
    <w:rsid w:val="008D280C"/>
    <w:rsid w:val="008D7315"/>
    <w:rsid w:val="008F4FCB"/>
    <w:rsid w:val="008F6039"/>
    <w:rsid w:val="0090551A"/>
    <w:rsid w:val="00920353"/>
    <w:rsid w:val="00924CB2"/>
    <w:rsid w:val="00933FB9"/>
    <w:rsid w:val="00937E87"/>
    <w:rsid w:val="00952912"/>
    <w:rsid w:val="00967893"/>
    <w:rsid w:val="00972594"/>
    <w:rsid w:val="00975AE7"/>
    <w:rsid w:val="00991957"/>
    <w:rsid w:val="009C1EB6"/>
    <w:rsid w:val="009C6068"/>
    <w:rsid w:val="009F3768"/>
    <w:rsid w:val="00A13749"/>
    <w:rsid w:val="00A1428F"/>
    <w:rsid w:val="00A23AEA"/>
    <w:rsid w:val="00A24328"/>
    <w:rsid w:val="00A3113F"/>
    <w:rsid w:val="00A31627"/>
    <w:rsid w:val="00A31CA4"/>
    <w:rsid w:val="00A455F8"/>
    <w:rsid w:val="00A512E0"/>
    <w:rsid w:val="00A57D54"/>
    <w:rsid w:val="00A67C79"/>
    <w:rsid w:val="00A73214"/>
    <w:rsid w:val="00A900FD"/>
    <w:rsid w:val="00A967C4"/>
    <w:rsid w:val="00AC2E22"/>
    <w:rsid w:val="00AD402E"/>
    <w:rsid w:val="00AF26DF"/>
    <w:rsid w:val="00AF6FAA"/>
    <w:rsid w:val="00B25BDA"/>
    <w:rsid w:val="00B262A8"/>
    <w:rsid w:val="00B30CB6"/>
    <w:rsid w:val="00B36F57"/>
    <w:rsid w:val="00B475C3"/>
    <w:rsid w:val="00B728BE"/>
    <w:rsid w:val="00BA32C5"/>
    <w:rsid w:val="00BC0CC9"/>
    <w:rsid w:val="00BC12D1"/>
    <w:rsid w:val="00BD377D"/>
    <w:rsid w:val="00BE57CE"/>
    <w:rsid w:val="00BF4140"/>
    <w:rsid w:val="00C30CB3"/>
    <w:rsid w:val="00C32294"/>
    <w:rsid w:val="00CC208A"/>
    <w:rsid w:val="00CC2292"/>
    <w:rsid w:val="00D03969"/>
    <w:rsid w:val="00D04090"/>
    <w:rsid w:val="00D045B7"/>
    <w:rsid w:val="00D22C39"/>
    <w:rsid w:val="00D3783A"/>
    <w:rsid w:val="00D56081"/>
    <w:rsid w:val="00D62EE5"/>
    <w:rsid w:val="00D74E11"/>
    <w:rsid w:val="00D9048C"/>
    <w:rsid w:val="00DB1051"/>
    <w:rsid w:val="00DC544B"/>
    <w:rsid w:val="00DF2905"/>
    <w:rsid w:val="00E01E48"/>
    <w:rsid w:val="00E03C19"/>
    <w:rsid w:val="00E37A16"/>
    <w:rsid w:val="00E64431"/>
    <w:rsid w:val="00E6534F"/>
    <w:rsid w:val="00E70A45"/>
    <w:rsid w:val="00E75A99"/>
    <w:rsid w:val="00E804E3"/>
    <w:rsid w:val="00E85C13"/>
    <w:rsid w:val="00E93B58"/>
    <w:rsid w:val="00E947A1"/>
    <w:rsid w:val="00E97AC5"/>
    <w:rsid w:val="00EB0C3C"/>
    <w:rsid w:val="00EC15E7"/>
    <w:rsid w:val="00ED2FBC"/>
    <w:rsid w:val="00ED6375"/>
    <w:rsid w:val="00EF388F"/>
    <w:rsid w:val="00F14F6B"/>
    <w:rsid w:val="00F16F4D"/>
    <w:rsid w:val="00F411F3"/>
    <w:rsid w:val="00F57E91"/>
    <w:rsid w:val="00F627F0"/>
    <w:rsid w:val="00F66773"/>
    <w:rsid w:val="00F940B0"/>
    <w:rsid w:val="00FA2437"/>
    <w:rsid w:val="00FA3394"/>
    <w:rsid w:val="00FB2664"/>
    <w:rsid w:val="00FC2A87"/>
    <w:rsid w:val="00FF0715"/>
    <w:rsid w:val="00FF2147"/>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www.youtube.com%2Flive%2FH25mCKkpg9o&amp;data=05%7C02%7CBin.Wu%40gov.ab.ca%7C9d76214d4bf14552475208de7ba90ac7%7C2bb51c06af9b42c58bf53c3b7b10850b%7C0%7C0%7C639084163131170533%7CUnknown%7CTWFpbGZsb3d8eyJFbXB0eU1hcGkiOnRydWUsIlYiOiIwLjAuMDAwMCIsIlAiOiJXaW4zMiIsIkFOIjoiTWFpbCIsIldUIjoyfQ%3D%3D%7C0%7C%7C%7C&amp;sdata=NQvuU86BP9wcIvNYwxYcwvra0%2Ba4GOF%2FR5MV0d3J0AY%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en.alberta.ca/publications/provincial-construction-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nbox/id/AAkALgAAAAAAHYQDEapmEc2byACqAC%2FEWg0Ahnp1TOPLPE%2Bwp9aD2VtPTwAHYoLMwAAA?nativeVersion=1.2026.213.1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sam.Khalo@gov.ab.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2.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D8AF6-2DC1-4406-A5AC-4A2B5001FDC9}">
  <ds:schemaRefs>
    <ds:schemaRef ds:uri="http://schemas.microsoft.com/sharepoint/v3/contenttype/forms"/>
  </ds:schemaRefs>
</ds:datastoreItem>
</file>

<file path=customXml/itemProps4.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5403</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2026-03-06T18:33:00Z</dcterms:created>
  <dcterms:modified xsi:type="dcterms:W3CDTF">2026-03-06T18:33:00Z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